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3DBB" w14:textId="404639B2" w:rsidR="00D21FC4" w:rsidRDefault="00A46B2C">
      <w:pPr>
        <w:rPr>
          <w:b/>
          <w:bCs/>
        </w:rPr>
      </w:pPr>
      <w:r w:rsidRPr="00A46B2C">
        <w:rPr>
          <w:b/>
          <w:bCs/>
        </w:rPr>
        <w:t xml:space="preserve">Donor Intent:  NMLRA Legacy Endowment </w:t>
      </w:r>
    </w:p>
    <w:p w14:paraId="652FCB1C" w14:textId="77777777" w:rsidR="00A46B2C" w:rsidRDefault="00A46B2C">
      <w:pPr>
        <w:rPr>
          <w:b/>
          <w:bCs/>
        </w:rPr>
      </w:pPr>
    </w:p>
    <w:p w14:paraId="2A23CFFA" w14:textId="1E8291ED" w:rsidR="00A46B2C" w:rsidRDefault="00A46B2C">
      <w:r>
        <w:t>-Donations to the NMLRA Legacy Endowment are intended to increase the Assoc</w:t>
      </w:r>
      <w:r w:rsidR="0076282F">
        <w:t>i</w:t>
      </w:r>
      <w:r>
        <w:t xml:space="preserve">ation’s outreach, both by </w:t>
      </w:r>
      <w:r w:rsidR="004009AB">
        <w:t xml:space="preserve">advertising to </w:t>
      </w:r>
      <w:r>
        <w:t xml:space="preserve">new audiences in the hopes of gaining new members and by creating activities meant to retain current members.  </w:t>
      </w:r>
    </w:p>
    <w:p w14:paraId="00FC1119" w14:textId="77777777" w:rsidR="00A46B2C" w:rsidRDefault="00A46B2C"/>
    <w:p w14:paraId="6DCBCAA3" w14:textId="7E3654B1" w:rsidR="00A46B2C" w:rsidRDefault="00A46B2C">
      <w:r>
        <w:t xml:space="preserve">-A committee appointed by the president of the NMLRA will decide on an ongoing basis what constitutes outreach.  This will include, but is not limited to, advertising and social media campaigns, but also programs such as the territorials, charter clubs, youth activities, women’s activities, rendezvous, and other programming directly related to the sport of </w:t>
      </w:r>
      <w:r w:rsidR="000B53C8">
        <w:t>muzzleloading</w:t>
      </w:r>
      <w:r>
        <w:t xml:space="preserve"> or period-correct historical re-enactment </w:t>
      </w:r>
    </w:p>
    <w:p w14:paraId="29727BD8" w14:textId="6151B65C" w:rsidR="00A46B2C" w:rsidRDefault="00A46B2C"/>
    <w:p w14:paraId="06C32E81" w14:textId="080FDE1D" w:rsidR="00A46B2C" w:rsidRDefault="00A46B2C">
      <w:r>
        <w:t xml:space="preserve">-All gifts over $100 will be </w:t>
      </w:r>
      <w:r w:rsidR="004009AB">
        <w:t>divided</w:t>
      </w:r>
      <w:r>
        <w:t xml:space="preserve"> equally into two pools</w:t>
      </w:r>
      <w:r w:rsidR="0035364E">
        <w:t>:  the PERMANENT POOL and the ANNUAL POOL.  The PERMANENT POOL</w:t>
      </w:r>
      <w:r>
        <w:t xml:space="preserve">, containing 50% of each year’s donations, will be used to create a permanent endowment to be used specifically for outreach.  No money will be spent from the endowment until it reaches $200,000.  From then onward, a portion of the endowment can be spent each year in accordance with the spending policy.    </w:t>
      </w:r>
      <w:r w:rsidR="0035364E">
        <w:t>The ANNUAL POOL</w:t>
      </w:r>
      <w:r>
        <w:t xml:space="preserve"> will be used to fund programming and advertising proposed by NMLRA members on an annual basis.  </w:t>
      </w:r>
      <w:r w:rsidR="0035364E">
        <w:t xml:space="preserve">It will also be used to fund </w:t>
      </w:r>
      <w:r w:rsidR="00566F43">
        <w:t xml:space="preserve">program costs such as incentive gifts, advertising, and NMLRA staff time.  </w:t>
      </w:r>
      <w:r>
        <w:t>The Legacy Endowment committee will request proposals and then make grants based on the available fund</w:t>
      </w:r>
      <w:r w:rsidR="004009AB">
        <w:t>s. The goal is to make these grants in the year following the donation if there is enough money to do so.</w:t>
      </w:r>
      <w:r>
        <w:t xml:space="preserve">   </w:t>
      </w:r>
    </w:p>
    <w:p w14:paraId="6CF185CA" w14:textId="77777777" w:rsidR="00A46B2C" w:rsidRDefault="00A46B2C"/>
    <w:p w14:paraId="776AC700" w14:textId="57317517" w:rsidR="00A46B2C" w:rsidRDefault="00A46B2C">
      <w:pPr>
        <w:rPr>
          <w:i/>
          <w:iCs/>
        </w:rPr>
      </w:pPr>
      <w:r w:rsidRPr="004009AB">
        <w:rPr>
          <w:i/>
          <w:iCs/>
        </w:rPr>
        <w:t>Example:  Imagine $</w:t>
      </w:r>
      <w:r w:rsidR="004009AB">
        <w:rPr>
          <w:i/>
          <w:iCs/>
        </w:rPr>
        <w:t>30</w:t>
      </w:r>
      <w:r w:rsidRPr="004009AB">
        <w:rPr>
          <w:i/>
          <w:iCs/>
        </w:rPr>
        <w:t>,000 total is donated during 2025.  $</w:t>
      </w:r>
      <w:r w:rsidR="004009AB">
        <w:rPr>
          <w:i/>
          <w:iCs/>
        </w:rPr>
        <w:t>15</w:t>
      </w:r>
      <w:r w:rsidRPr="004009AB">
        <w:rPr>
          <w:i/>
          <w:iCs/>
        </w:rPr>
        <w:t>,000 will go into the permanent endowment and will not be spent until the fund reaches $200,000.  $</w:t>
      </w:r>
      <w:r w:rsidR="004009AB">
        <w:rPr>
          <w:i/>
          <w:iCs/>
        </w:rPr>
        <w:t>15</w:t>
      </w:r>
      <w:r w:rsidRPr="004009AB">
        <w:rPr>
          <w:i/>
          <w:iCs/>
        </w:rPr>
        <w:t xml:space="preserve">,000 will be distributed by the committee to proposals </w:t>
      </w:r>
      <w:r w:rsidR="004009AB" w:rsidRPr="004009AB">
        <w:rPr>
          <w:i/>
          <w:iCs/>
        </w:rPr>
        <w:t>made during a competition in 2026</w:t>
      </w:r>
      <w:r w:rsidR="00090A5E">
        <w:rPr>
          <w:i/>
          <w:iCs/>
        </w:rPr>
        <w:t xml:space="preserve"> after program expenses are met</w:t>
      </w:r>
      <w:r w:rsidR="004009AB" w:rsidRPr="004009AB">
        <w:rPr>
          <w:i/>
          <w:iCs/>
        </w:rPr>
        <w:t xml:space="preserve">. </w:t>
      </w:r>
    </w:p>
    <w:p w14:paraId="67FDAC91" w14:textId="77777777" w:rsidR="004009AB" w:rsidRDefault="004009AB">
      <w:pPr>
        <w:rPr>
          <w:i/>
          <w:iCs/>
        </w:rPr>
      </w:pPr>
    </w:p>
    <w:p w14:paraId="5D1DAF1D" w14:textId="7A3F1764" w:rsidR="004009AB" w:rsidRDefault="004009AB">
      <w:r>
        <w:t xml:space="preserve">-Gifts under $100 will automatically go into the </w:t>
      </w:r>
      <w:r w:rsidR="00090A5E">
        <w:t xml:space="preserve">ANNUAL POOL </w:t>
      </w:r>
      <w:r>
        <w:t xml:space="preserve">to be distributed the following year. </w:t>
      </w:r>
    </w:p>
    <w:p w14:paraId="2C3D71DB" w14:textId="77777777" w:rsidR="004009AB" w:rsidRDefault="004009AB"/>
    <w:p w14:paraId="2969B69C" w14:textId="3A7BED14" w:rsidR="004009AB" w:rsidRDefault="004009AB">
      <w:r>
        <w:t xml:space="preserve">-The NMLRA office will keep a running total of all gifts of $100 or more and these will be included in the donor’s total gift to the Legacy Endowment.  There will be recognition and incentive awards when total gifts reach $1000, $5000, and $10,000 thresholds.  </w:t>
      </w:r>
    </w:p>
    <w:p w14:paraId="3AFD36EF" w14:textId="77777777" w:rsidR="004009AB" w:rsidRDefault="004009AB"/>
    <w:p w14:paraId="5B3E6391" w14:textId="7DE9C98F" w:rsidR="004009AB" w:rsidRDefault="004009AB">
      <w:r>
        <w:t>-In-kind gifts are welcome and will be accepted at the discretion of the committee and office.  In general, the market value of in-kind gifts must exceed $</w:t>
      </w:r>
      <w:r w:rsidR="00090A5E">
        <w:t>250</w:t>
      </w:r>
      <w:r>
        <w:t xml:space="preserve"> to be worth the administrative time and fees required to handle them.  The donor will be credited with the value of the gift as determined at sale.   </w:t>
      </w:r>
    </w:p>
    <w:p w14:paraId="27EF01CF" w14:textId="77777777" w:rsidR="004009AB" w:rsidRDefault="004009AB"/>
    <w:p w14:paraId="3EDD6907" w14:textId="7792A629" w:rsidR="004009AB" w:rsidRDefault="004009AB">
      <w:pPr>
        <w:rPr>
          <w:i/>
          <w:iCs/>
        </w:rPr>
      </w:pPr>
      <w:r w:rsidRPr="004009AB">
        <w:rPr>
          <w:i/>
          <w:iCs/>
        </w:rPr>
        <w:t xml:space="preserve">Details to be established when a vendor/auctioneer for in-kind gifts is selected.  </w:t>
      </w:r>
    </w:p>
    <w:p w14:paraId="1541FA43" w14:textId="77777777" w:rsidR="004009AB" w:rsidRDefault="004009AB">
      <w:pPr>
        <w:rPr>
          <w:i/>
          <w:iCs/>
        </w:rPr>
      </w:pPr>
    </w:p>
    <w:p w14:paraId="337EC03B" w14:textId="08F8BA20" w:rsidR="005F169B" w:rsidRDefault="004009AB">
      <w:r>
        <w:rPr>
          <w:i/>
          <w:iCs/>
        </w:rPr>
        <w:t>-</w:t>
      </w:r>
      <w:r>
        <w:t xml:space="preserve">Donors anticipate that all money donated to the Legacy Endowment will be used only for the purposes described here.  </w:t>
      </w:r>
      <w:r w:rsidR="00490DE3">
        <w:t xml:space="preserve">The NMLRA may use </w:t>
      </w:r>
      <w:r w:rsidR="004B7CC1">
        <w:t xml:space="preserve">1% each year from the PERMANENT </w:t>
      </w:r>
      <w:r w:rsidR="004B7CC1">
        <w:lastRenderedPageBreak/>
        <w:t xml:space="preserve">POOL once it reaches $200,000.  The NMLRA may also use funds from the ANNUAL POOL to purchase </w:t>
      </w:r>
      <w:r w:rsidR="00490DE3">
        <w:t>incentive awards</w:t>
      </w:r>
      <w:r w:rsidR="004B7CC1">
        <w:t>, pay for advertising, and to compensate staff time</w:t>
      </w:r>
      <w:r w:rsidR="00490DE3">
        <w:t xml:space="preserve">.  </w:t>
      </w:r>
    </w:p>
    <w:p w14:paraId="7B682BF1" w14:textId="77777777" w:rsidR="004B7CC1" w:rsidRDefault="004B7CC1"/>
    <w:p w14:paraId="6953B8D0" w14:textId="398D9E25" w:rsidR="005F169B" w:rsidRPr="004009AB" w:rsidRDefault="005F169B">
      <w:r>
        <w:t>-Donor</w:t>
      </w:r>
      <w:r w:rsidR="004B7CC1">
        <w:t>s</w:t>
      </w:r>
      <w:r>
        <w:t xml:space="preserve"> understand that in the unfortunate event of the NMLRA </w:t>
      </w:r>
      <w:r w:rsidR="006566A4">
        <w:t xml:space="preserve">ceasing operations, any funds in the NMLRA Legacy Endowment would be </w:t>
      </w:r>
      <w:r w:rsidR="004A1E7A">
        <w:t xml:space="preserve">protected and </w:t>
      </w:r>
      <w:r w:rsidR="00F84151">
        <w:t>transferred to a 501c3 organization with similar goals.  This is standard practice within member associations with endowed funds.</w:t>
      </w:r>
    </w:p>
    <w:p w14:paraId="281709A4" w14:textId="77777777" w:rsidR="004009AB" w:rsidRPr="004009AB" w:rsidRDefault="004009AB"/>
    <w:p w14:paraId="509B322F" w14:textId="77777777" w:rsidR="004009AB" w:rsidRDefault="004009AB"/>
    <w:p w14:paraId="138F9B74" w14:textId="77777777" w:rsidR="004009AB" w:rsidRPr="00A46B2C" w:rsidRDefault="004009AB"/>
    <w:sectPr w:rsidR="004009AB" w:rsidRPr="00A46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2C"/>
    <w:rsid w:val="00090A5E"/>
    <w:rsid w:val="000B53C8"/>
    <w:rsid w:val="00103CBA"/>
    <w:rsid w:val="001D1AC1"/>
    <w:rsid w:val="002C0D51"/>
    <w:rsid w:val="002F1FE6"/>
    <w:rsid w:val="00344324"/>
    <w:rsid w:val="00347755"/>
    <w:rsid w:val="0035364E"/>
    <w:rsid w:val="004009AB"/>
    <w:rsid w:val="00490DE3"/>
    <w:rsid w:val="004A1E7A"/>
    <w:rsid w:val="004B7CC1"/>
    <w:rsid w:val="004D352F"/>
    <w:rsid w:val="00566F43"/>
    <w:rsid w:val="00575524"/>
    <w:rsid w:val="005E5B7A"/>
    <w:rsid w:val="005F169B"/>
    <w:rsid w:val="00606774"/>
    <w:rsid w:val="006566A4"/>
    <w:rsid w:val="006946BB"/>
    <w:rsid w:val="00707FE2"/>
    <w:rsid w:val="0076282F"/>
    <w:rsid w:val="008E1EAD"/>
    <w:rsid w:val="00985332"/>
    <w:rsid w:val="00A06539"/>
    <w:rsid w:val="00A46B2C"/>
    <w:rsid w:val="00A50FF4"/>
    <w:rsid w:val="00AF34A6"/>
    <w:rsid w:val="00B00305"/>
    <w:rsid w:val="00B26D00"/>
    <w:rsid w:val="00C00FF9"/>
    <w:rsid w:val="00CF4870"/>
    <w:rsid w:val="00D21FC4"/>
    <w:rsid w:val="00D8253B"/>
    <w:rsid w:val="00D83621"/>
    <w:rsid w:val="00DC3533"/>
    <w:rsid w:val="00ED1584"/>
    <w:rsid w:val="00EE7104"/>
    <w:rsid w:val="00F8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ACE04"/>
  <w15:chartTrackingRefBased/>
  <w15:docId w15:val="{D6F76DA3-36FD-4E40-AB52-969A9F2E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B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B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B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B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B2C"/>
    <w:rPr>
      <w:rFonts w:eastAsiaTheme="majorEastAsia" w:cstheme="majorBidi"/>
      <w:color w:val="272727" w:themeColor="text1" w:themeTint="D8"/>
    </w:rPr>
  </w:style>
  <w:style w:type="paragraph" w:styleId="Title">
    <w:name w:val="Title"/>
    <w:basedOn w:val="Normal"/>
    <w:next w:val="Normal"/>
    <w:link w:val="TitleChar"/>
    <w:uiPriority w:val="10"/>
    <w:qFormat/>
    <w:rsid w:val="00A46B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B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B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6B2C"/>
    <w:rPr>
      <w:i/>
      <w:iCs/>
      <w:color w:val="404040" w:themeColor="text1" w:themeTint="BF"/>
    </w:rPr>
  </w:style>
  <w:style w:type="paragraph" w:styleId="ListParagraph">
    <w:name w:val="List Paragraph"/>
    <w:basedOn w:val="Normal"/>
    <w:uiPriority w:val="34"/>
    <w:qFormat/>
    <w:rsid w:val="00A46B2C"/>
    <w:pPr>
      <w:ind w:left="720"/>
      <w:contextualSpacing/>
    </w:pPr>
  </w:style>
  <w:style w:type="character" w:styleId="IntenseEmphasis">
    <w:name w:val="Intense Emphasis"/>
    <w:basedOn w:val="DefaultParagraphFont"/>
    <w:uiPriority w:val="21"/>
    <w:qFormat/>
    <w:rsid w:val="00A46B2C"/>
    <w:rPr>
      <w:i/>
      <w:iCs/>
      <w:color w:val="0F4761" w:themeColor="accent1" w:themeShade="BF"/>
    </w:rPr>
  </w:style>
  <w:style w:type="paragraph" w:styleId="IntenseQuote">
    <w:name w:val="Intense Quote"/>
    <w:basedOn w:val="Normal"/>
    <w:next w:val="Normal"/>
    <w:link w:val="IntenseQuoteChar"/>
    <w:uiPriority w:val="30"/>
    <w:qFormat/>
    <w:rsid w:val="00A46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B2C"/>
    <w:rPr>
      <w:i/>
      <w:iCs/>
      <w:color w:val="0F4761" w:themeColor="accent1" w:themeShade="BF"/>
    </w:rPr>
  </w:style>
  <w:style w:type="character" w:styleId="IntenseReference">
    <w:name w:val="Intense Reference"/>
    <w:basedOn w:val="DefaultParagraphFont"/>
    <w:uiPriority w:val="32"/>
    <w:qFormat/>
    <w:rsid w:val="00A46B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2635</Characters>
  <Application>Microsoft Office Word</Application>
  <DocSecurity>0</DocSecurity>
  <Lines>53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Farnsley II, Arthur E</dc:creator>
  <cp:keywords/>
  <dc:description/>
  <cp:lastModifiedBy>Melinda Baxter</cp:lastModifiedBy>
  <cp:revision>3</cp:revision>
  <dcterms:created xsi:type="dcterms:W3CDTF">2025-05-09T16:19:00Z</dcterms:created>
  <dcterms:modified xsi:type="dcterms:W3CDTF">2025-05-09T17:51:00Z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5e29ab91-cf9b-483a-aed4-aa216ed159f6</vt:lpwstr>
  </property>
</Properties>
</file>